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10" w:rsidRDefault="00B82910" w:rsidP="006657F3">
      <w:pPr>
        <w:spacing w:after="0" w:line="240" w:lineRule="auto"/>
        <w:rPr>
          <w:rFonts w:eastAsia="Times New Roman" w:cstheme="minorHAnsi"/>
          <w:b/>
          <w:lang w:eastAsia="ja-JP"/>
        </w:rPr>
      </w:pPr>
      <w:bookmarkStart w:id="0" w:name="_gjdgxs" w:colFirst="0" w:colLast="0"/>
      <w:bookmarkEnd w:id="0"/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47CC3A9B" wp14:editId="00F12F85">
            <wp:extent cx="1860405" cy="533038"/>
            <wp:effectExtent l="0" t="0" r="0" b="0"/>
            <wp:docPr id="1" name="image1.jpg" descr="C:\Users\mgelinas\AppData\Local\Microsoft\Windows\Temporary Internet Files\Content.Word\logo 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gelinas\AppData\Local\Microsoft\Windows\Temporary Internet Files\Content.Word\logo new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0405" cy="533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2910" w:rsidRDefault="00B82910" w:rsidP="006657F3">
      <w:pPr>
        <w:spacing w:after="0" w:line="240" w:lineRule="auto"/>
        <w:rPr>
          <w:rFonts w:eastAsia="Times New Roman" w:cstheme="minorHAnsi"/>
          <w:b/>
          <w:lang w:eastAsia="ja-JP"/>
        </w:rPr>
      </w:pPr>
    </w:p>
    <w:p w:rsidR="00B82910" w:rsidRPr="00B82910" w:rsidRDefault="00B82910" w:rsidP="00B82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 w:cstheme="minorHAnsi"/>
          <w:b/>
          <w:color w:val="000000"/>
          <w:sz w:val="24"/>
          <w:szCs w:val="28"/>
          <w:u w:val="single"/>
        </w:rPr>
      </w:pPr>
      <w:r w:rsidRPr="00B82910">
        <w:rPr>
          <w:rFonts w:eastAsia="Arial" w:cstheme="minorHAnsi"/>
          <w:b/>
          <w:color w:val="000000"/>
          <w:sz w:val="24"/>
          <w:szCs w:val="28"/>
          <w:u w:val="single"/>
        </w:rPr>
        <w:t>PROFESSIONAL POSITION DESCRIPTION</w:t>
      </w:r>
    </w:p>
    <w:p w:rsidR="00B82910" w:rsidRPr="00B82910" w:rsidRDefault="00B82910" w:rsidP="006657F3">
      <w:pPr>
        <w:spacing w:after="0" w:line="240" w:lineRule="auto"/>
        <w:rPr>
          <w:rFonts w:eastAsia="Times New Roman" w:cstheme="minorHAnsi"/>
          <w:b/>
          <w:sz w:val="20"/>
          <w:lang w:eastAsia="ja-JP"/>
        </w:rPr>
      </w:pPr>
    </w:p>
    <w:p w:rsidR="00B82910" w:rsidRDefault="00B82910" w:rsidP="006657F3">
      <w:pPr>
        <w:spacing w:after="0" w:line="240" w:lineRule="auto"/>
        <w:rPr>
          <w:rFonts w:eastAsia="Times New Roman" w:cstheme="minorHAnsi"/>
          <w:b/>
          <w:lang w:eastAsia="ja-JP"/>
        </w:rPr>
      </w:pPr>
      <w:bookmarkStart w:id="1" w:name="_GoBack"/>
      <w:bookmarkEnd w:id="1"/>
    </w:p>
    <w:p w:rsidR="006657F3" w:rsidRPr="00676F98" w:rsidRDefault="006657F3" w:rsidP="006657F3">
      <w:pPr>
        <w:spacing w:after="0" w:line="240" w:lineRule="auto"/>
        <w:rPr>
          <w:rFonts w:eastAsia="Times New Roman" w:cstheme="minorHAnsi"/>
          <w:b/>
          <w:caps/>
          <w:color w:val="000000"/>
          <w:lang w:eastAsia="ja-JP"/>
        </w:rPr>
      </w:pPr>
      <w:r w:rsidRPr="00676F98">
        <w:rPr>
          <w:rFonts w:eastAsia="Times New Roman" w:cstheme="minorHAnsi"/>
          <w:b/>
          <w:lang w:eastAsia="ja-JP"/>
        </w:rPr>
        <w:t>Title</w:t>
      </w:r>
      <w:r w:rsidRPr="00676F98">
        <w:rPr>
          <w:rFonts w:eastAsia="Times New Roman" w:cstheme="minorHAnsi"/>
          <w:lang w:eastAsia="ja-JP"/>
        </w:rPr>
        <w:t xml:space="preserve">:  </w:t>
      </w:r>
      <w:r w:rsidRPr="00676F98">
        <w:rPr>
          <w:rFonts w:eastAsia="Times New Roman" w:cstheme="minorHAnsi"/>
          <w:lang w:eastAsia="ja-JP"/>
        </w:rPr>
        <w:tab/>
      </w:r>
      <w:r w:rsidRPr="00676F98">
        <w:rPr>
          <w:rFonts w:eastAsia="Times New Roman" w:cstheme="minorHAnsi"/>
          <w:lang w:eastAsia="ja-JP"/>
        </w:rPr>
        <w:tab/>
      </w:r>
      <w:r w:rsidRPr="00676F98">
        <w:rPr>
          <w:rFonts w:eastAsia="Times New Roman" w:cstheme="minorHAnsi"/>
          <w:b/>
          <w:caps/>
          <w:color w:val="000000"/>
          <w:lang w:eastAsia="ja-JP"/>
        </w:rPr>
        <w:t>Director</w:t>
      </w:r>
      <w:r w:rsidR="00AE121A">
        <w:rPr>
          <w:rFonts w:eastAsia="Times New Roman" w:cstheme="minorHAnsi"/>
          <w:b/>
          <w:caps/>
          <w:color w:val="000000"/>
          <w:lang w:eastAsia="ja-JP"/>
        </w:rPr>
        <w:t xml:space="preserve"> OF</w:t>
      </w:r>
      <w:r w:rsidRPr="00676F98">
        <w:rPr>
          <w:rFonts w:eastAsia="Times New Roman" w:cstheme="minorHAnsi"/>
          <w:b/>
          <w:caps/>
          <w:color w:val="000000"/>
          <w:lang w:eastAsia="ja-JP"/>
        </w:rPr>
        <w:t xml:space="preserve"> Health Services</w:t>
      </w:r>
    </w:p>
    <w:p w:rsidR="006657F3" w:rsidRPr="00676F98" w:rsidRDefault="006657F3" w:rsidP="006657F3">
      <w:pPr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b/>
          <w:lang w:eastAsia="ja-JP"/>
        </w:rPr>
        <w:t>Division</w:t>
      </w:r>
      <w:r w:rsidRPr="00676F98">
        <w:rPr>
          <w:rFonts w:eastAsia="Times New Roman" w:cstheme="minorHAnsi"/>
          <w:lang w:eastAsia="ja-JP"/>
        </w:rPr>
        <w:t xml:space="preserve">:  </w:t>
      </w:r>
      <w:r w:rsidRPr="00676F98">
        <w:rPr>
          <w:rFonts w:eastAsia="Times New Roman" w:cstheme="minorHAnsi"/>
          <w:lang w:eastAsia="ja-JP"/>
        </w:rPr>
        <w:tab/>
      </w:r>
      <w:r w:rsidR="00827E81" w:rsidRPr="00676F98">
        <w:rPr>
          <w:rFonts w:eastAsia="Times New Roman" w:cstheme="minorHAnsi"/>
          <w:b/>
          <w:lang w:eastAsia="ja-JP"/>
        </w:rPr>
        <w:t xml:space="preserve">SD </w:t>
      </w:r>
      <w:r w:rsidRPr="00676F98">
        <w:rPr>
          <w:rFonts w:eastAsia="Times New Roman" w:cstheme="minorHAnsi"/>
          <w:b/>
          <w:lang w:eastAsia="ja-JP"/>
        </w:rPr>
        <w:t>Department</w:t>
      </w:r>
      <w:r w:rsidRPr="00676F98">
        <w:rPr>
          <w:rFonts w:eastAsia="Times New Roman" w:cstheme="minorHAnsi"/>
          <w:lang w:eastAsia="ja-JP"/>
        </w:rPr>
        <w:t>:  USM Health and Counseling Services</w:t>
      </w:r>
    </w:p>
    <w:p w:rsidR="006657F3" w:rsidRPr="00676F98" w:rsidRDefault="006657F3" w:rsidP="006657F3">
      <w:pPr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b/>
          <w:lang w:eastAsia="ja-JP"/>
        </w:rPr>
        <w:t>Locations</w:t>
      </w:r>
      <w:r w:rsidRPr="00676F98">
        <w:rPr>
          <w:rFonts w:eastAsia="Times New Roman" w:cstheme="minorHAnsi"/>
          <w:lang w:eastAsia="ja-JP"/>
        </w:rPr>
        <w:t xml:space="preserve">:  </w:t>
      </w:r>
      <w:r w:rsidRPr="00676F98">
        <w:rPr>
          <w:rFonts w:eastAsia="Times New Roman" w:cstheme="minorHAnsi"/>
          <w:lang w:eastAsia="ja-JP"/>
        </w:rPr>
        <w:tab/>
        <w:t>Portland Campus, 008 Sullivan Gym</w:t>
      </w:r>
      <w:r w:rsidR="00827E81" w:rsidRPr="00676F98">
        <w:rPr>
          <w:rFonts w:eastAsia="Times New Roman" w:cstheme="minorHAnsi"/>
          <w:lang w:eastAsia="ja-JP"/>
        </w:rPr>
        <w:t xml:space="preserve"> </w:t>
      </w:r>
      <w:r w:rsidRPr="00676F98">
        <w:rPr>
          <w:rFonts w:eastAsia="Times New Roman" w:cstheme="minorHAnsi"/>
          <w:lang w:eastAsia="ja-JP"/>
        </w:rPr>
        <w:t>Center; Gorham, 156 Upton Hall</w:t>
      </w:r>
    </w:p>
    <w:p w:rsidR="006657F3" w:rsidRPr="00676F98" w:rsidRDefault="006657F3" w:rsidP="006657F3">
      <w:pPr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b/>
          <w:lang w:eastAsia="ja-JP"/>
        </w:rPr>
        <w:t>Schedule</w:t>
      </w:r>
      <w:r w:rsidRPr="00676F98">
        <w:rPr>
          <w:rFonts w:eastAsia="Times New Roman" w:cstheme="minorHAnsi"/>
          <w:lang w:eastAsia="ja-JP"/>
        </w:rPr>
        <w:t xml:space="preserve">:  </w:t>
      </w:r>
      <w:r w:rsidRPr="00676F98">
        <w:rPr>
          <w:rFonts w:eastAsia="Times New Roman" w:cstheme="minorHAnsi"/>
          <w:lang w:eastAsia="ja-JP"/>
        </w:rPr>
        <w:tab/>
        <w:t>Full time, 12 months, evening hours or weekends may be required</w:t>
      </w:r>
    </w:p>
    <w:p w:rsidR="00E83F79" w:rsidRPr="00676F98" w:rsidRDefault="00E83F79" w:rsidP="006657F3">
      <w:pPr>
        <w:spacing w:after="0" w:line="240" w:lineRule="auto"/>
        <w:rPr>
          <w:rFonts w:eastAsia="Times New Roman" w:cstheme="minorHAnsi"/>
          <w:b/>
          <w:lang w:eastAsia="ja-JP"/>
        </w:rPr>
      </w:pPr>
    </w:p>
    <w:p w:rsidR="006657F3" w:rsidRPr="00676F98" w:rsidRDefault="006657F3" w:rsidP="006657F3">
      <w:pPr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b/>
          <w:lang w:eastAsia="ja-JP"/>
        </w:rPr>
        <w:t>Organizational relationships</w:t>
      </w:r>
      <w:r w:rsidRPr="00676F98">
        <w:rPr>
          <w:rFonts w:eastAsia="Times New Roman" w:cstheme="minorHAnsi"/>
          <w:lang w:eastAsia="ja-JP"/>
        </w:rPr>
        <w:t>:</w:t>
      </w:r>
    </w:p>
    <w:p w:rsidR="00E83F79" w:rsidRPr="00676F98" w:rsidRDefault="006657F3" w:rsidP="00E83F79">
      <w:pPr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b/>
          <w:lang w:eastAsia="ja-JP"/>
        </w:rPr>
        <w:t>Reports to</w:t>
      </w:r>
      <w:r w:rsidR="00827E81" w:rsidRPr="00676F98">
        <w:rPr>
          <w:rFonts w:eastAsia="Times New Roman" w:cstheme="minorHAnsi"/>
          <w:lang w:eastAsia="ja-JP"/>
        </w:rPr>
        <w:t xml:space="preserve">:  </w:t>
      </w:r>
      <w:r w:rsidR="00676F98">
        <w:rPr>
          <w:rFonts w:eastAsia="Times New Roman" w:cstheme="minorHAnsi"/>
          <w:lang w:eastAsia="ja-JP"/>
        </w:rPr>
        <w:tab/>
      </w:r>
      <w:r w:rsidR="00827E81" w:rsidRPr="00676F98">
        <w:rPr>
          <w:rFonts w:eastAsia="Times New Roman" w:cstheme="minorHAnsi"/>
          <w:lang w:eastAsia="ja-JP"/>
        </w:rPr>
        <w:t>Associate</w:t>
      </w:r>
      <w:r w:rsidRPr="00676F98">
        <w:rPr>
          <w:rFonts w:eastAsia="Times New Roman" w:cstheme="minorHAnsi"/>
          <w:lang w:eastAsia="ja-JP"/>
        </w:rPr>
        <w:t xml:space="preserve"> VP for Student Affairs</w:t>
      </w:r>
    </w:p>
    <w:p w:rsidR="006657F3" w:rsidRPr="00676F98" w:rsidRDefault="006657F3" w:rsidP="00E83F79">
      <w:pPr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b/>
          <w:lang w:eastAsia="ja-JP"/>
        </w:rPr>
        <w:t>Directly</w:t>
      </w:r>
      <w:r w:rsidRPr="00676F98">
        <w:rPr>
          <w:rFonts w:eastAsia="Times New Roman" w:cstheme="minorHAnsi"/>
          <w:lang w:eastAsia="ja-JP"/>
        </w:rPr>
        <w:t xml:space="preserve"> </w:t>
      </w:r>
      <w:r w:rsidRPr="00676F98">
        <w:rPr>
          <w:rFonts w:eastAsia="Times New Roman" w:cstheme="minorHAnsi"/>
          <w:b/>
          <w:lang w:eastAsia="ja-JP"/>
        </w:rPr>
        <w:t>Supervises</w:t>
      </w:r>
      <w:r w:rsidRPr="00676F98">
        <w:rPr>
          <w:rFonts w:eastAsia="Times New Roman" w:cstheme="minorHAnsi"/>
          <w:lang w:eastAsia="ja-JP"/>
        </w:rPr>
        <w:t>:  Nurse Practitioners, Professional Nurses, Medical Assistants, Administrative Support Specialists, Asymptomatic Testing/Vacc</w:t>
      </w:r>
      <w:r w:rsidR="00676F98">
        <w:rPr>
          <w:rFonts w:eastAsia="Times New Roman" w:cstheme="minorHAnsi"/>
          <w:lang w:eastAsia="ja-JP"/>
        </w:rPr>
        <w:t xml:space="preserve">ine Director, student interns. </w:t>
      </w:r>
      <w:r w:rsidRPr="00676F98">
        <w:rPr>
          <w:rFonts w:eastAsia="Times New Roman" w:cstheme="minorHAnsi"/>
          <w:b/>
          <w:lang w:eastAsia="ja-JP"/>
        </w:rPr>
        <w:t>Indirectly Supervises</w:t>
      </w:r>
      <w:r w:rsidRPr="00676F98">
        <w:rPr>
          <w:rFonts w:eastAsia="Times New Roman" w:cstheme="minorHAnsi"/>
          <w:lang w:eastAsia="ja-JP"/>
        </w:rPr>
        <w:t>:  student workers.</w:t>
      </w:r>
    </w:p>
    <w:p w:rsidR="00E83F79" w:rsidRPr="00676F98" w:rsidRDefault="00E83F79" w:rsidP="00E83F79">
      <w:pPr>
        <w:spacing w:after="0" w:line="240" w:lineRule="auto"/>
        <w:ind w:left="1890" w:hanging="1890"/>
        <w:rPr>
          <w:rFonts w:eastAsia="Times New Roman" w:cstheme="minorHAnsi"/>
          <w:b/>
          <w:lang w:eastAsia="ja-JP"/>
        </w:rPr>
      </w:pPr>
    </w:p>
    <w:p w:rsidR="00676F98" w:rsidRDefault="006657F3" w:rsidP="00E83F79">
      <w:pPr>
        <w:spacing w:after="0" w:line="240" w:lineRule="auto"/>
        <w:ind w:left="1890" w:hanging="1890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b/>
          <w:lang w:eastAsia="ja-JP"/>
        </w:rPr>
        <w:t>Coordinates with</w:t>
      </w:r>
      <w:r w:rsidRPr="00676F98">
        <w:rPr>
          <w:rFonts w:eastAsia="Times New Roman" w:cstheme="minorHAnsi"/>
          <w:lang w:eastAsia="ja-JP"/>
        </w:rPr>
        <w:t xml:space="preserve">: </w:t>
      </w:r>
      <w:r w:rsidR="00676F98">
        <w:rPr>
          <w:rFonts w:eastAsia="Times New Roman" w:cstheme="minorHAnsi"/>
          <w:lang w:eastAsia="ja-JP"/>
        </w:rPr>
        <w:tab/>
      </w:r>
    </w:p>
    <w:p w:rsidR="00676F98" w:rsidRDefault="006657F3" w:rsidP="00676F98">
      <w:pPr>
        <w:spacing w:after="0" w:line="240" w:lineRule="auto"/>
        <w:ind w:left="1890" w:hanging="1890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Director of Counseling Services and Counseling Services staff; Athletics, Residential Life, Admissions,</w:t>
      </w:r>
      <w:r w:rsidR="00676F98">
        <w:rPr>
          <w:rFonts w:eastAsia="Times New Roman" w:cstheme="minorHAnsi"/>
          <w:lang w:eastAsia="ja-JP"/>
        </w:rPr>
        <w:t xml:space="preserve"> Advising,</w:t>
      </w:r>
    </w:p>
    <w:p w:rsidR="00676F98" w:rsidRDefault="006657F3" w:rsidP="00676F98">
      <w:pPr>
        <w:spacing w:after="0" w:line="240" w:lineRule="auto"/>
        <w:ind w:left="1890" w:hanging="1890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Dining Services, Public Safety, Student Affairs staff, Academic Deans and Dept. s</w:t>
      </w:r>
      <w:r w:rsidR="00676F98">
        <w:rPr>
          <w:rFonts w:eastAsia="Times New Roman" w:cstheme="minorHAnsi"/>
          <w:lang w:eastAsia="ja-JP"/>
        </w:rPr>
        <w:t>taff, School of Nursing, Career</w:t>
      </w:r>
    </w:p>
    <w:p w:rsidR="00676F98" w:rsidRDefault="006657F3" w:rsidP="00676F98">
      <w:pPr>
        <w:spacing w:after="0" w:line="240" w:lineRule="auto"/>
        <w:ind w:left="1890" w:hanging="1890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Hub, Learning Commons, TRIO, Student Organizations, Parents, UMS lega</w:t>
      </w:r>
      <w:r w:rsidR="00676F98">
        <w:rPr>
          <w:rFonts w:eastAsia="Times New Roman" w:cstheme="minorHAnsi"/>
          <w:lang w:eastAsia="ja-JP"/>
        </w:rPr>
        <w:t>l counsel, UMS Risk Management,</w:t>
      </w:r>
    </w:p>
    <w:p w:rsidR="00676F98" w:rsidRDefault="006657F3" w:rsidP="00676F98">
      <w:pPr>
        <w:spacing w:after="0" w:line="240" w:lineRule="auto"/>
        <w:ind w:left="1890" w:hanging="1890"/>
        <w:rPr>
          <w:rFonts w:eastAsia="Times New Roman" w:cstheme="minorHAnsi"/>
        </w:rPr>
      </w:pPr>
      <w:r w:rsidRPr="00676F98">
        <w:rPr>
          <w:rFonts w:eastAsia="Times New Roman" w:cstheme="minorHAnsi"/>
          <w:lang w:eastAsia="ja-JP"/>
        </w:rPr>
        <w:t>Human Resources, UMS and USM Pandemic Response Teams,</w:t>
      </w:r>
      <w:r w:rsidRPr="00676F98">
        <w:rPr>
          <w:rFonts w:eastAsia="Times New Roman" w:cstheme="minorHAnsi"/>
        </w:rPr>
        <w:t xml:space="preserve"> pr</w:t>
      </w:r>
      <w:r w:rsidR="00676F98">
        <w:rPr>
          <w:rFonts w:eastAsia="Times New Roman" w:cstheme="minorHAnsi"/>
        </w:rPr>
        <w:t>imary health care providers and</w:t>
      </w:r>
    </w:p>
    <w:p w:rsidR="00676F98" w:rsidRDefault="006657F3" w:rsidP="00676F98">
      <w:pPr>
        <w:spacing w:after="0" w:line="240" w:lineRule="auto"/>
        <w:ind w:left="1890" w:hanging="1890"/>
        <w:rPr>
          <w:rFonts w:eastAsia="Times New Roman" w:cstheme="minorHAnsi"/>
        </w:rPr>
      </w:pPr>
      <w:proofErr w:type="gramStart"/>
      <w:r w:rsidRPr="00676F98">
        <w:rPr>
          <w:rFonts w:eastAsia="Times New Roman" w:cstheme="minorHAnsi"/>
        </w:rPr>
        <w:t>subspecialists</w:t>
      </w:r>
      <w:proofErr w:type="gramEnd"/>
      <w:r w:rsidRPr="00676F98">
        <w:rPr>
          <w:rFonts w:eastAsia="Times New Roman" w:cstheme="minorHAnsi"/>
        </w:rPr>
        <w:t>, social services and community resources, Maine CDC, Portland</w:t>
      </w:r>
      <w:r w:rsidR="00676F98">
        <w:rPr>
          <w:rFonts w:eastAsia="Times New Roman" w:cstheme="minorHAnsi"/>
        </w:rPr>
        <w:t xml:space="preserve"> Public Health, vendors (i.e. –</w:t>
      </w:r>
    </w:p>
    <w:p w:rsidR="00676F98" w:rsidRDefault="006657F3" w:rsidP="00676F98">
      <w:pPr>
        <w:spacing w:after="0" w:line="240" w:lineRule="auto"/>
        <w:ind w:left="1890" w:hanging="1890"/>
        <w:rPr>
          <w:rFonts w:eastAsia="Times New Roman" w:cstheme="minorHAnsi"/>
        </w:rPr>
      </w:pPr>
      <w:proofErr w:type="gramStart"/>
      <w:r w:rsidRPr="00676F98">
        <w:rPr>
          <w:rFonts w:eastAsia="Times New Roman" w:cstheme="minorHAnsi"/>
        </w:rPr>
        <w:t>laboratory</w:t>
      </w:r>
      <w:proofErr w:type="gramEnd"/>
      <w:r w:rsidRPr="00676F98">
        <w:rPr>
          <w:rFonts w:eastAsia="Times New Roman" w:cstheme="minorHAnsi"/>
        </w:rPr>
        <w:t xml:space="preserve"> services, pharmacies, equipment calibration organizations, medical and office su</w:t>
      </w:r>
      <w:r w:rsidR="00676F98">
        <w:rPr>
          <w:rFonts w:eastAsia="Times New Roman" w:cstheme="minorHAnsi"/>
        </w:rPr>
        <w:t>ppliers,  student</w:t>
      </w:r>
    </w:p>
    <w:p w:rsidR="006657F3" w:rsidRPr="00676F98" w:rsidRDefault="006657F3" w:rsidP="00676F98">
      <w:pPr>
        <w:spacing w:after="0" w:line="240" w:lineRule="auto"/>
        <w:ind w:left="1890" w:hanging="1890"/>
        <w:rPr>
          <w:rFonts w:eastAsia="Times New Roman" w:cstheme="minorHAnsi"/>
          <w:lang w:eastAsia="ja-JP"/>
        </w:rPr>
      </w:pPr>
      <w:proofErr w:type="gramStart"/>
      <w:r w:rsidRPr="00676F98">
        <w:rPr>
          <w:rFonts w:eastAsia="Times New Roman" w:cstheme="minorHAnsi"/>
        </w:rPr>
        <w:t>health</w:t>
      </w:r>
      <w:proofErr w:type="gramEnd"/>
      <w:r w:rsidRPr="00676F98">
        <w:rPr>
          <w:rFonts w:eastAsia="Times New Roman" w:cstheme="minorHAnsi"/>
        </w:rPr>
        <w:t xml:space="preserve"> insurance carrier).</w:t>
      </w:r>
      <w:r w:rsidRPr="00676F98">
        <w:rPr>
          <w:rFonts w:eastAsia="Times New Roman" w:cstheme="minorHAnsi"/>
          <w:lang w:eastAsia="ja-JP"/>
        </w:rPr>
        <w:t xml:space="preserve"> </w:t>
      </w:r>
    </w:p>
    <w:p w:rsidR="00E83F79" w:rsidRPr="00676F98" w:rsidRDefault="00E83F79" w:rsidP="00E83F79">
      <w:pPr>
        <w:spacing w:after="0" w:line="240" w:lineRule="auto"/>
        <w:ind w:left="720"/>
        <w:rPr>
          <w:rFonts w:eastAsia="Times New Roman" w:cstheme="minorHAnsi"/>
          <w:lang w:eastAsia="ja-JP"/>
        </w:rPr>
      </w:pPr>
    </w:p>
    <w:p w:rsidR="00676F98" w:rsidRDefault="006657F3" w:rsidP="00676F98">
      <w:pPr>
        <w:spacing w:after="0" w:line="240" w:lineRule="auto"/>
        <w:rPr>
          <w:rFonts w:eastAsia="Times New Roman" w:cstheme="minorHAnsi"/>
          <w:b/>
          <w:lang w:eastAsia="ja-JP"/>
        </w:rPr>
      </w:pPr>
      <w:r w:rsidRPr="00676F98">
        <w:rPr>
          <w:rFonts w:eastAsia="Times New Roman" w:cstheme="minorHAnsi"/>
          <w:b/>
          <w:lang w:eastAsia="ja-JP"/>
        </w:rPr>
        <w:t>Statement of the Job</w:t>
      </w:r>
    </w:p>
    <w:p w:rsidR="00E83F79" w:rsidRPr="00676F98" w:rsidRDefault="006657F3" w:rsidP="00676F98">
      <w:pPr>
        <w:spacing w:after="0" w:line="240" w:lineRule="auto"/>
        <w:rPr>
          <w:rFonts w:eastAsia="Times New Roman" w:cstheme="minorHAnsi"/>
          <w:b/>
          <w:lang w:eastAsia="ja-JP"/>
        </w:rPr>
      </w:pPr>
      <w:r w:rsidRPr="00676F98">
        <w:rPr>
          <w:rFonts w:eastAsia="Times New Roman" w:cstheme="minorHAnsi"/>
          <w:lang w:eastAsia="ja-JP"/>
        </w:rPr>
        <w:t>The Health Services Director is responsible for Health Services operations ensuring high quality, evidence-based delivery of primary health care and public health services to the USM campus community.  These functions serve to support the mission of the university.</w:t>
      </w:r>
    </w:p>
    <w:p w:rsidR="00E83F79" w:rsidRPr="00676F98" w:rsidRDefault="00E83F79" w:rsidP="00E83F79">
      <w:pPr>
        <w:spacing w:after="0" w:line="240" w:lineRule="auto"/>
        <w:ind w:left="720"/>
        <w:rPr>
          <w:rFonts w:eastAsia="Times New Roman" w:cstheme="minorHAnsi"/>
          <w:lang w:eastAsia="ja-JP"/>
        </w:rPr>
      </w:pPr>
    </w:p>
    <w:p w:rsidR="006657F3" w:rsidRPr="00676F98" w:rsidRDefault="006657F3" w:rsidP="00E83F79">
      <w:pPr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b/>
          <w:lang w:eastAsia="ja-JP"/>
        </w:rPr>
        <w:t xml:space="preserve">Essential </w:t>
      </w:r>
      <w:r w:rsidR="00676F98" w:rsidRPr="00676F98">
        <w:rPr>
          <w:rFonts w:eastAsia="Times New Roman" w:cstheme="minorHAnsi"/>
          <w:b/>
          <w:lang w:eastAsia="ja-JP"/>
        </w:rPr>
        <w:t xml:space="preserve">Functions </w:t>
      </w:r>
      <w:r w:rsidR="00676F98">
        <w:rPr>
          <w:rFonts w:eastAsia="Times New Roman" w:cstheme="minorHAnsi"/>
          <w:b/>
          <w:lang w:eastAsia="ja-JP"/>
        </w:rPr>
        <w:t xml:space="preserve"> </w:t>
      </w:r>
    </w:p>
    <w:p w:rsidR="006657F3" w:rsidRPr="00676F98" w:rsidRDefault="006657F3" w:rsidP="006657F3">
      <w:pPr>
        <w:spacing w:after="0" w:line="240" w:lineRule="auto"/>
        <w:rPr>
          <w:rFonts w:eastAsia="Times New Roman" w:cstheme="minorHAnsi"/>
          <w:b/>
          <w:lang w:eastAsia="ja-JP"/>
        </w:rPr>
      </w:pPr>
    </w:p>
    <w:p w:rsidR="006657F3" w:rsidRPr="00676F98" w:rsidRDefault="006657F3" w:rsidP="006657F3">
      <w:pPr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b/>
          <w:lang w:eastAsia="ja-JP"/>
        </w:rPr>
        <w:t>Supervisory</w:t>
      </w:r>
      <w:r w:rsidRPr="00676F98">
        <w:rPr>
          <w:rFonts w:eastAsia="Times New Roman" w:cstheme="minorHAnsi"/>
          <w:lang w:eastAsia="ja-JP"/>
        </w:rPr>
        <w:t>:</w:t>
      </w:r>
    </w:p>
    <w:p w:rsidR="006657F3" w:rsidRPr="00676F98" w:rsidRDefault="006657F3" w:rsidP="006657F3">
      <w:pPr>
        <w:numPr>
          <w:ilvl w:val="0"/>
          <w:numId w:val="6"/>
        </w:numPr>
        <w:tabs>
          <w:tab w:val="left" w:pos="1170"/>
        </w:tabs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Supervises clinical staff including nurse practitioners, professional nurses, and nursing assistants ensuring the provision of safe, evidence-based quality health care.</w:t>
      </w:r>
    </w:p>
    <w:p w:rsidR="006657F3" w:rsidRPr="00676F98" w:rsidRDefault="006657F3" w:rsidP="006657F3">
      <w:pPr>
        <w:numPr>
          <w:ilvl w:val="0"/>
          <w:numId w:val="6"/>
        </w:numPr>
        <w:tabs>
          <w:tab w:val="left" w:pos="1170"/>
        </w:tabs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 xml:space="preserve">Supervises administrative support personnel and oversees administrative functions.         </w:t>
      </w:r>
    </w:p>
    <w:p w:rsidR="006657F3" w:rsidRPr="00676F98" w:rsidRDefault="006657F3" w:rsidP="006657F3">
      <w:pPr>
        <w:numPr>
          <w:ilvl w:val="0"/>
          <w:numId w:val="6"/>
        </w:numPr>
        <w:tabs>
          <w:tab w:val="left" w:pos="1170"/>
        </w:tabs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Initiates and facilitates the hiring of qualified clinical and administrative support staff.</w:t>
      </w:r>
    </w:p>
    <w:p w:rsidR="006657F3" w:rsidRPr="00676F98" w:rsidRDefault="006657F3" w:rsidP="006657F3">
      <w:pPr>
        <w:numPr>
          <w:ilvl w:val="0"/>
          <w:numId w:val="6"/>
        </w:numPr>
        <w:tabs>
          <w:tab w:val="left" w:pos="1170"/>
        </w:tabs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Oversees the orientation of new clinical and administrative support staff.</w:t>
      </w:r>
    </w:p>
    <w:p w:rsidR="006657F3" w:rsidRPr="00676F98" w:rsidRDefault="006657F3" w:rsidP="006657F3">
      <w:pPr>
        <w:numPr>
          <w:ilvl w:val="0"/>
          <w:numId w:val="6"/>
        </w:numPr>
        <w:tabs>
          <w:tab w:val="left" w:pos="1170"/>
        </w:tabs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 xml:space="preserve">Meets at least 2x/month with direct supervisees to review goals, discuss issues, provides   guidance as needed.  </w:t>
      </w:r>
    </w:p>
    <w:p w:rsidR="006657F3" w:rsidRPr="00676F98" w:rsidRDefault="006657F3" w:rsidP="006657F3">
      <w:pPr>
        <w:numPr>
          <w:ilvl w:val="0"/>
          <w:numId w:val="6"/>
        </w:numPr>
        <w:tabs>
          <w:tab w:val="left" w:pos="1170"/>
        </w:tabs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Prepares and conducts an annual performance appraisal for each direct supervisee.</w:t>
      </w:r>
    </w:p>
    <w:p w:rsidR="006657F3" w:rsidRPr="00676F98" w:rsidRDefault="006657F3" w:rsidP="006657F3">
      <w:pPr>
        <w:numPr>
          <w:ilvl w:val="0"/>
          <w:numId w:val="6"/>
        </w:numPr>
        <w:tabs>
          <w:tab w:val="left" w:pos="1170"/>
        </w:tabs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Maintains an updated credential file for clinical staff and IZ file for all Health Service staff.</w:t>
      </w:r>
    </w:p>
    <w:p w:rsidR="006657F3" w:rsidRPr="00676F98" w:rsidRDefault="006657F3" w:rsidP="006657F3">
      <w:pPr>
        <w:numPr>
          <w:ilvl w:val="0"/>
          <w:numId w:val="6"/>
        </w:numPr>
        <w:tabs>
          <w:tab w:val="left" w:pos="1170"/>
        </w:tabs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Ensures clinical staff participation in compliance trainings as well as diversity training and relevant in-services / continuing education activities.</w:t>
      </w:r>
    </w:p>
    <w:p w:rsidR="006657F3" w:rsidRPr="00676F98" w:rsidRDefault="006657F3" w:rsidP="006657F3">
      <w:pPr>
        <w:numPr>
          <w:ilvl w:val="0"/>
          <w:numId w:val="6"/>
        </w:numPr>
        <w:tabs>
          <w:tab w:val="left" w:pos="1170"/>
        </w:tabs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Provides input into revision/update of health services staff job descriptions, as needed.</w:t>
      </w:r>
    </w:p>
    <w:p w:rsidR="006657F3" w:rsidRPr="00676F98" w:rsidRDefault="006657F3" w:rsidP="006657F3">
      <w:pPr>
        <w:numPr>
          <w:ilvl w:val="0"/>
          <w:numId w:val="6"/>
        </w:numPr>
        <w:tabs>
          <w:tab w:val="left" w:pos="1170"/>
        </w:tabs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Oversees clinical schedule to ensure adequate staffing; maintains attendance records and approves time off; and responds to needs for scheduling changes due to illness/vacation.</w:t>
      </w:r>
    </w:p>
    <w:p w:rsidR="00E83F79" w:rsidRPr="00676F98" w:rsidRDefault="006657F3" w:rsidP="00E83F79">
      <w:pPr>
        <w:numPr>
          <w:ilvl w:val="0"/>
          <w:numId w:val="6"/>
        </w:numPr>
        <w:tabs>
          <w:tab w:val="left" w:pos="1170"/>
        </w:tabs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Directs/delegates the preceptorship of students (i.e. - nurses, nurse practitioners, athletic training, r</w:t>
      </w:r>
      <w:r w:rsidR="00E83F79" w:rsidRPr="00676F98">
        <w:rPr>
          <w:rFonts w:eastAsia="Times New Roman" w:cstheme="minorHAnsi"/>
          <w:lang w:eastAsia="ja-JP"/>
        </w:rPr>
        <w:t>esident physicians, and others)</w:t>
      </w:r>
    </w:p>
    <w:p w:rsidR="006657F3" w:rsidRPr="00676F98" w:rsidRDefault="006657F3" w:rsidP="00E83F79">
      <w:pPr>
        <w:numPr>
          <w:ilvl w:val="0"/>
          <w:numId w:val="6"/>
        </w:numPr>
        <w:tabs>
          <w:tab w:val="left" w:pos="1170"/>
        </w:tabs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lastRenderedPageBreak/>
        <w:t>Builds and maintains a safe working/learning environment for all staff.</w:t>
      </w:r>
    </w:p>
    <w:p w:rsidR="007E053E" w:rsidRPr="00676F98" w:rsidRDefault="007E053E" w:rsidP="006657F3">
      <w:pPr>
        <w:spacing w:after="0" w:line="240" w:lineRule="auto"/>
        <w:rPr>
          <w:rFonts w:eastAsia="Times New Roman" w:cstheme="minorHAnsi"/>
          <w:b/>
          <w:lang w:eastAsia="ja-JP"/>
        </w:rPr>
      </w:pPr>
    </w:p>
    <w:p w:rsidR="006657F3" w:rsidRPr="00676F98" w:rsidRDefault="006657F3" w:rsidP="006657F3">
      <w:pPr>
        <w:spacing w:after="0" w:line="240" w:lineRule="auto"/>
        <w:rPr>
          <w:rFonts w:eastAsia="Times New Roman" w:cstheme="minorHAnsi"/>
          <w:b/>
          <w:lang w:eastAsia="ja-JP"/>
        </w:rPr>
      </w:pPr>
      <w:r w:rsidRPr="00676F98">
        <w:rPr>
          <w:rFonts w:eastAsia="Times New Roman" w:cstheme="minorHAnsi"/>
          <w:b/>
          <w:lang w:eastAsia="ja-JP"/>
        </w:rPr>
        <w:t>Clinical:</w:t>
      </w:r>
    </w:p>
    <w:p w:rsidR="006657F3" w:rsidRPr="00676F98" w:rsidRDefault="006657F3" w:rsidP="006657F3">
      <w:pPr>
        <w:numPr>
          <w:ilvl w:val="0"/>
          <w:numId w:val="4"/>
        </w:numPr>
        <w:tabs>
          <w:tab w:val="num" w:pos="1170"/>
        </w:tabs>
        <w:spacing w:after="0" w:line="240" w:lineRule="auto"/>
        <w:ind w:left="1170" w:hanging="450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Renders high quality evidence-based health care services, renders 30% of available t</w:t>
      </w:r>
      <w:r w:rsidR="00F300C9" w:rsidRPr="00676F98">
        <w:rPr>
          <w:rFonts w:eastAsia="Times New Roman" w:cstheme="minorHAnsi"/>
          <w:lang w:eastAsia="ja-JP"/>
        </w:rPr>
        <w:t>ime to direct clinical services as able.</w:t>
      </w:r>
    </w:p>
    <w:p w:rsidR="006657F3" w:rsidRPr="00676F98" w:rsidRDefault="006657F3" w:rsidP="00827E81">
      <w:pPr>
        <w:numPr>
          <w:ilvl w:val="0"/>
          <w:numId w:val="4"/>
        </w:numPr>
        <w:tabs>
          <w:tab w:val="num" w:pos="1170"/>
        </w:tabs>
        <w:spacing w:after="0" w:line="240" w:lineRule="auto"/>
        <w:ind w:left="1170" w:hanging="450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Provides case consultation to Health and Counseling Services staff and other departments.</w:t>
      </w:r>
    </w:p>
    <w:p w:rsidR="006657F3" w:rsidRPr="00676F98" w:rsidRDefault="006657F3" w:rsidP="006657F3">
      <w:pPr>
        <w:numPr>
          <w:ilvl w:val="0"/>
          <w:numId w:val="4"/>
        </w:numPr>
        <w:tabs>
          <w:tab w:val="num" w:pos="1170"/>
        </w:tabs>
        <w:spacing w:after="0" w:line="240" w:lineRule="auto"/>
        <w:ind w:left="1170" w:hanging="450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Works collaboratively with physician consultant who provides clinical case consultation, participates in continuous quality improvement (CQI) activities including conducting annual chart reviews, and guides clinical policy development.</w:t>
      </w:r>
    </w:p>
    <w:p w:rsidR="006657F3" w:rsidRPr="00676F98" w:rsidRDefault="006657F3" w:rsidP="006657F3">
      <w:pPr>
        <w:numPr>
          <w:ilvl w:val="0"/>
          <w:numId w:val="4"/>
        </w:numPr>
        <w:tabs>
          <w:tab w:val="num" w:pos="1170"/>
        </w:tabs>
        <w:spacing w:after="0" w:line="240" w:lineRule="auto"/>
        <w:ind w:left="1170" w:hanging="450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Ensures the establishment and implementation of up-to-date clinical policies, procedures, and practice guidelines for Health Services.</w:t>
      </w:r>
    </w:p>
    <w:p w:rsidR="006657F3" w:rsidRPr="00676F98" w:rsidRDefault="006657F3" w:rsidP="006657F3">
      <w:pPr>
        <w:numPr>
          <w:ilvl w:val="0"/>
          <w:numId w:val="4"/>
        </w:numPr>
        <w:tabs>
          <w:tab w:val="num" w:pos="1170"/>
        </w:tabs>
        <w:spacing w:after="0" w:line="240" w:lineRule="auto"/>
        <w:ind w:left="1170" w:hanging="450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 xml:space="preserve">Ensures the completion and maintenance of quality medical records for each patient. </w:t>
      </w:r>
    </w:p>
    <w:p w:rsidR="006657F3" w:rsidRPr="00676F98" w:rsidRDefault="006657F3" w:rsidP="006657F3">
      <w:pPr>
        <w:numPr>
          <w:ilvl w:val="0"/>
          <w:numId w:val="4"/>
        </w:numPr>
        <w:tabs>
          <w:tab w:val="num" w:pos="1170"/>
        </w:tabs>
        <w:spacing w:after="0" w:line="240" w:lineRule="auto"/>
        <w:ind w:left="1170" w:hanging="450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Demonstrates understanding of the electronic medical record system and ability to lead discussions for improvements, adjustments, and updates in conjunction with clinical staff.</w:t>
      </w:r>
    </w:p>
    <w:p w:rsidR="006657F3" w:rsidRPr="00676F98" w:rsidRDefault="006657F3" w:rsidP="006657F3">
      <w:pPr>
        <w:numPr>
          <w:ilvl w:val="0"/>
          <w:numId w:val="4"/>
        </w:numPr>
        <w:tabs>
          <w:tab w:val="num" w:pos="1170"/>
        </w:tabs>
        <w:spacing w:after="0" w:line="240" w:lineRule="auto"/>
        <w:ind w:left="1170" w:hanging="450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Ensures strict compliance with infection control measures.</w:t>
      </w:r>
    </w:p>
    <w:p w:rsidR="006657F3" w:rsidRPr="00676F98" w:rsidRDefault="006657F3" w:rsidP="006657F3">
      <w:pPr>
        <w:numPr>
          <w:ilvl w:val="0"/>
          <w:numId w:val="4"/>
        </w:numPr>
        <w:tabs>
          <w:tab w:val="num" w:pos="1170"/>
        </w:tabs>
        <w:spacing w:after="0" w:line="240" w:lineRule="auto"/>
        <w:ind w:left="1170" w:hanging="450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Oversees the inventory and appropriate storage of medical supplies, equipment and medication.</w:t>
      </w:r>
    </w:p>
    <w:p w:rsidR="006657F3" w:rsidRPr="00676F98" w:rsidRDefault="006657F3" w:rsidP="006657F3">
      <w:pPr>
        <w:numPr>
          <w:ilvl w:val="0"/>
          <w:numId w:val="4"/>
        </w:numPr>
        <w:tabs>
          <w:tab w:val="num" w:pos="1170"/>
        </w:tabs>
        <w:spacing w:after="0" w:line="240" w:lineRule="auto"/>
        <w:ind w:left="1170" w:hanging="450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Oversees the maintenance of CLIA certified laboratory testing procedures.</w:t>
      </w:r>
    </w:p>
    <w:p w:rsidR="006657F3" w:rsidRPr="00676F98" w:rsidRDefault="006657F3" w:rsidP="006657F3">
      <w:pPr>
        <w:numPr>
          <w:ilvl w:val="0"/>
          <w:numId w:val="4"/>
        </w:numPr>
        <w:tabs>
          <w:tab w:val="num" w:pos="1170"/>
        </w:tabs>
        <w:spacing w:after="0" w:line="240" w:lineRule="auto"/>
        <w:ind w:left="1170" w:hanging="450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Oversees management of immunization supplies including ordering, handling, storage and administration.</w:t>
      </w:r>
    </w:p>
    <w:p w:rsidR="00A6167D" w:rsidRPr="00676F98" w:rsidRDefault="00A6167D" w:rsidP="006657F3">
      <w:pPr>
        <w:numPr>
          <w:ilvl w:val="0"/>
          <w:numId w:val="4"/>
        </w:numPr>
        <w:tabs>
          <w:tab w:val="num" w:pos="1170"/>
        </w:tabs>
        <w:spacing w:after="0" w:line="240" w:lineRule="auto"/>
        <w:ind w:left="1170" w:hanging="450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 xml:space="preserve">Works collaboratively with </w:t>
      </w:r>
      <w:r w:rsidR="00016439" w:rsidRPr="00676F98">
        <w:rPr>
          <w:rFonts w:eastAsia="Times New Roman" w:cstheme="minorHAnsi"/>
          <w:lang w:eastAsia="ja-JP"/>
        </w:rPr>
        <w:t>stakeholders</w:t>
      </w:r>
      <w:r w:rsidRPr="00676F98">
        <w:rPr>
          <w:rFonts w:eastAsia="Times New Roman" w:cstheme="minorHAnsi"/>
          <w:lang w:eastAsia="ja-JP"/>
        </w:rPr>
        <w:t xml:space="preserve"> in the USM community to </w:t>
      </w:r>
      <w:r w:rsidR="00A139AB" w:rsidRPr="00676F98">
        <w:rPr>
          <w:rFonts w:eastAsia="Times New Roman" w:cstheme="minorHAnsi"/>
          <w:lang w:eastAsia="ja-JP"/>
        </w:rPr>
        <w:t xml:space="preserve">integrate and </w:t>
      </w:r>
      <w:r w:rsidRPr="00676F98">
        <w:rPr>
          <w:rFonts w:eastAsia="Times New Roman" w:cstheme="minorHAnsi"/>
          <w:lang w:eastAsia="ja-JP"/>
        </w:rPr>
        <w:t xml:space="preserve">uphold equitable </w:t>
      </w:r>
      <w:r w:rsidR="00A139AB" w:rsidRPr="00676F98">
        <w:rPr>
          <w:rFonts w:eastAsia="Times New Roman" w:cstheme="minorHAnsi"/>
          <w:lang w:eastAsia="ja-JP"/>
        </w:rPr>
        <w:t xml:space="preserve">and diverse </w:t>
      </w:r>
      <w:r w:rsidRPr="00676F98">
        <w:rPr>
          <w:rFonts w:eastAsia="Times New Roman" w:cstheme="minorHAnsi"/>
          <w:lang w:eastAsia="ja-JP"/>
        </w:rPr>
        <w:t xml:space="preserve">quality care for all students, while respecting, fostering and encouraging </w:t>
      </w:r>
      <w:r w:rsidR="00315FB3" w:rsidRPr="00676F98">
        <w:rPr>
          <w:rFonts w:eastAsia="Times New Roman" w:cstheme="minorHAnsi"/>
          <w:lang w:eastAsia="ja-JP"/>
        </w:rPr>
        <w:t xml:space="preserve">each student’s </w:t>
      </w:r>
      <w:r w:rsidRPr="00676F98">
        <w:rPr>
          <w:rFonts w:eastAsia="Times New Roman" w:cstheme="minorHAnsi"/>
          <w:lang w:eastAsia="ja-JP"/>
        </w:rPr>
        <w:t>cultural and ethnic differences</w:t>
      </w:r>
      <w:r w:rsidR="00315FB3" w:rsidRPr="00676F98">
        <w:rPr>
          <w:rFonts w:eastAsia="Times New Roman" w:cstheme="minorHAnsi"/>
          <w:lang w:eastAsia="ja-JP"/>
        </w:rPr>
        <w:t>.</w:t>
      </w:r>
      <w:r w:rsidRPr="00676F98">
        <w:rPr>
          <w:rFonts w:eastAsia="Times New Roman" w:cstheme="minorHAnsi"/>
          <w:lang w:eastAsia="ja-JP"/>
        </w:rPr>
        <w:t xml:space="preserve"> </w:t>
      </w:r>
    </w:p>
    <w:p w:rsidR="006657F3" w:rsidRPr="00676F98" w:rsidRDefault="006657F3" w:rsidP="006657F3">
      <w:pPr>
        <w:numPr>
          <w:ilvl w:val="0"/>
          <w:numId w:val="4"/>
        </w:numPr>
        <w:tabs>
          <w:tab w:val="num" w:pos="1170"/>
        </w:tabs>
        <w:spacing w:after="0" w:line="240" w:lineRule="auto"/>
        <w:ind w:left="1170" w:hanging="450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Ensures a physically and emotionally safe health care setting for both patients and staff, while ensuring strict adherence to HIPAA/FERPA guidelines for privacy and confidentiality.</w:t>
      </w:r>
    </w:p>
    <w:p w:rsidR="006657F3" w:rsidRPr="00676F98" w:rsidRDefault="006657F3" w:rsidP="006657F3">
      <w:pPr>
        <w:numPr>
          <w:ilvl w:val="0"/>
          <w:numId w:val="4"/>
        </w:numPr>
        <w:tabs>
          <w:tab w:val="num" w:pos="1170"/>
        </w:tabs>
        <w:spacing w:after="0" w:line="240" w:lineRule="auto"/>
        <w:ind w:left="1170" w:hanging="450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Plans and coordinates with the Athletic department to provide annual pre-participation and periodic sports physical exams.</w:t>
      </w:r>
    </w:p>
    <w:p w:rsidR="006657F3" w:rsidRPr="00676F98" w:rsidRDefault="006657F3" w:rsidP="006657F3">
      <w:pPr>
        <w:numPr>
          <w:ilvl w:val="0"/>
          <w:numId w:val="4"/>
        </w:numPr>
        <w:tabs>
          <w:tab w:val="num" w:pos="1170"/>
        </w:tabs>
        <w:spacing w:after="0" w:line="240" w:lineRule="auto"/>
        <w:ind w:left="1170" w:hanging="450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Directs Health Services Quality Improvement programming and activities.</w:t>
      </w:r>
    </w:p>
    <w:p w:rsidR="006657F3" w:rsidRPr="00676F98" w:rsidRDefault="006657F3" w:rsidP="006657F3">
      <w:pPr>
        <w:numPr>
          <w:ilvl w:val="0"/>
          <w:numId w:val="4"/>
        </w:numPr>
        <w:tabs>
          <w:tab w:val="num" w:pos="1170"/>
        </w:tabs>
        <w:spacing w:after="0" w:line="240" w:lineRule="auto"/>
        <w:ind w:left="1170" w:hanging="450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Provides oversight of health education/prevention/promotion activities/programs.</w:t>
      </w:r>
    </w:p>
    <w:p w:rsidR="006657F3" w:rsidRPr="00676F98" w:rsidRDefault="006657F3" w:rsidP="006657F3">
      <w:pPr>
        <w:numPr>
          <w:ilvl w:val="0"/>
          <w:numId w:val="4"/>
        </w:numPr>
        <w:tabs>
          <w:tab w:val="num" w:pos="1170"/>
        </w:tabs>
        <w:spacing w:after="0" w:line="240" w:lineRule="auto"/>
        <w:ind w:left="1170" w:hanging="450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Interfaces with pharmaceutical, medical and laboratory service representatives and makes recommendations regarding formulary and services.</w:t>
      </w:r>
    </w:p>
    <w:p w:rsidR="006657F3" w:rsidRPr="00676F98" w:rsidRDefault="006657F3" w:rsidP="006657F3">
      <w:pPr>
        <w:spacing w:after="0" w:line="240" w:lineRule="auto"/>
        <w:rPr>
          <w:rFonts w:eastAsia="Times New Roman" w:cstheme="minorHAnsi"/>
          <w:b/>
          <w:lang w:eastAsia="ja-JP"/>
        </w:rPr>
      </w:pPr>
      <w:r w:rsidRPr="00676F98">
        <w:rPr>
          <w:rFonts w:eastAsia="Times New Roman" w:cstheme="minorHAnsi"/>
          <w:b/>
          <w:lang w:eastAsia="ja-JP"/>
        </w:rPr>
        <w:tab/>
      </w:r>
    </w:p>
    <w:p w:rsidR="006657F3" w:rsidRPr="00676F98" w:rsidRDefault="006657F3" w:rsidP="006657F3">
      <w:pPr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b/>
          <w:lang w:eastAsia="ja-JP"/>
        </w:rPr>
        <w:t>Administrative</w:t>
      </w:r>
      <w:r w:rsidRPr="00676F98">
        <w:rPr>
          <w:rFonts w:eastAsia="Times New Roman" w:cstheme="minorHAnsi"/>
          <w:lang w:eastAsia="ja-JP"/>
        </w:rPr>
        <w:t>:</w:t>
      </w:r>
    </w:p>
    <w:p w:rsidR="006657F3" w:rsidRPr="00676F98" w:rsidRDefault="006657F3" w:rsidP="006657F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Oversees the immunization compliance program, ensuring adherence to Maine state laws, and coordinates with other campus departments for clear communication to students with regard to immunization requirements and process.</w:t>
      </w:r>
    </w:p>
    <w:p w:rsidR="006657F3" w:rsidRPr="00676F98" w:rsidRDefault="006657F3" w:rsidP="006657F3">
      <w:pPr>
        <w:numPr>
          <w:ilvl w:val="0"/>
          <w:numId w:val="1"/>
        </w:numPr>
        <w:tabs>
          <w:tab w:val="left" w:pos="1170"/>
        </w:tabs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Provides oversite of preparedness for health-related emergencies including the development of pertinent policies/procedures.</w:t>
      </w:r>
    </w:p>
    <w:p w:rsidR="006657F3" w:rsidRPr="00676F98" w:rsidRDefault="006657F3" w:rsidP="006657F3">
      <w:pPr>
        <w:numPr>
          <w:ilvl w:val="0"/>
          <w:numId w:val="1"/>
        </w:numPr>
        <w:tabs>
          <w:tab w:val="left" w:pos="1170"/>
        </w:tabs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Negotiates contracts with outside organizations and vendors, and interfaces with contractors for the functioning of health services.</w:t>
      </w:r>
    </w:p>
    <w:p w:rsidR="006657F3" w:rsidRPr="00676F98" w:rsidRDefault="006657F3" w:rsidP="006657F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Works with Health Services team to market and increase the visibility of University Health and Counseling Services (UHCS) services.</w:t>
      </w:r>
    </w:p>
    <w:p w:rsidR="006657F3" w:rsidRPr="00676F98" w:rsidRDefault="006657F3" w:rsidP="006657F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Oversees the accuracy and completeness of health information presented on the USM Health &amp; Counseling Services website.</w:t>
      </w:r>
    </w:p>
    <w:p w:rsidR="006657F3" w:rsidRPr="00676F98" w:rsidRDefault="006657F3" w:rsidP="006657F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Ensures the establishment and implementation of administrative and personnel policies and procedures for health services.</w:t>
      </w:r>
    </w:p>
    <w:p w:rsidR="006657F3" w:rsidRPr="00676F98" w:rsidRDefault="006657F3" w:rsidP="006657F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 xml:space="preserve">Analyzes and reports data to </w:t>
      </w:r>
      <w:r w:rsidR="00F300C9" w:rsidRPr="00676F98">
        <w:rPr>
          <w:rFonts w:eastAsia="Times New Roman" w:cstheme="minorHAnsi"/>
          <w:lang w:eastAsia="ja-JP"/>
        </w:rPr>
        <w:t>UHCS staff</w:t>
      </w:r>
      <w:r w:rsidRPr="00676F98">
        <w:rPr>
          <w:rFonts w:eastAsia="Times New Roman" w:cstheme="minorHAnsi"/>
          <w:lang w:eastAsia="ja-JP"/>
        </w:rPr>
        <w:t xml:space="preserve"> relative to the provision of health care services.</w:t>
      </w:r>
    </w:p>
    <w:p w:rsidR="006657F3" w:rsidRPr="00676F98" w:rsidRDefault="006657F3" w:rsidP="006657F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Participates in Student Affairs meetings and activities when appropriate.</w:t>
      </w:r>
    </w:p>
    <w:p w:rsidR="00827E81" w:rsidRPr="00676F98" w:rsidRDefault="00827E81" w:rsidP="006657F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cstheme="minorHAnsi"/>
          <w:color w:val="222222"/>
          <w:shd w:val="clear" w:color="auto" w:fill="FFFFFF"/>
        </w:rPr>
        <w:t>Participate in ACT/BIT meetings as scheduled</w:t>
      </w:r>
    </w:p>
    <w:p w:rsidR="006657F3" w:rsidRPr="00676F98" w:rsidRDefault="006657F3" w:rsidP="006657F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lastRenderedPageBreak/>
        <w:t>Coordinates with Counseling Services Director to maximize integration of mental health and health services, including outreach and health promotion activities.</w:t>
      </w:r>
    </w:p>
    <w:p w:rsidR="006657F3" w:rsidRPr="00676F98" w:rsidRDefault="006657F3" w:rsidP="006657F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In conjunction with Counseling Services Director, works with students, staff and faculty to assess the overall health needs of students and conduct student satisfaction surveys at least annually.</w:t>
      </w:r>
    </w:p>
    <w:p w:rsidR="006657F3" w:rsidRPr="00676F98" w:rsidRDefault="006657F3" w:rsidP="006657F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Provides solid health care perspective and advice to university and departmental decision-making and policy development where appropriate.</w:t>
      </w:r>
    </w:p>
    <w:p w:rsidR="006657F3" w:rsidRPr="00676F98" w:rsidRDefault="006657F3" w:rsidP="00827E8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Explores and facilitates the development and implementation of new programs and services.</w:t>
      </w:r>
    </w:p>
    <w:p w:rsidR="006657F3" w:rsidRPr="00676F98" w:rsidRDefault="006657F3" w:rsidP="006657F3">
      <w:pPr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ab/>
      </w:r>
    </w:p>
    <w:p w:rsidR="006657F3" w:rsidRPr="00676F98" w:rsidRDefault="00676F98" w:rsidP="00676F98">
      <w:pPr>
        <w:tabs>
          <w:tab w:val="left" w:pos="5130"/>
        </w:tabs>
        <w:spacing w:after="0" w:line="240" w:lineRule="auto"/>
        <w:rPr>
          <w:rFonts w:eastAsia="Times New Roman" w:cstheme="minorHAnsi"/>
          <w:b/>
          <w:lang w:eastAsia="ja-JP"/>
        </w:rPr>
      </w:pPr>
      <w:r>
        <w:rPr>
          <w:rFonts w:eastAsia="Times New Roman" w:cstheme="minorHAnsi"/>
          <w:b/>
          <w:lang w:eastAsia="ja-JP"/>
        </w:rPr>
        <w:t xml:space="preserve"> </w:t>
      </w:r>
      <w:r w:rsidR="006657F3" w:rsidRPr="00676F98">
        <w:rPr>
          <w:rFonts w:eastAsia="Times New Roman" w:cstheme="minorHAnsi"/>
          <w:b/>
          <w:lang w:eastAsia="ja-JP"/>
        </w:rPr>
        <w:t>Budget Responsibilities:</w:t>
      </w:r>
    </w:p>
    <w:p w:rsidR="006657F3" w:rsidRPr="00676F98" w:rsidRDefault="006657F3" w:rsidP="006657F3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1080" w:hanging="360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Works in tandem with the Counseling Services Director to analyze, prepare and administer the UHCS budget in a cost effect manner.</w:t>
      </w:r>
    </w:p>
    <w:p w:rsidR="006657F3" w:rsidRPr="00676F98" w:rsidRDefault="006657F3" w:rsidP="006657F3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1080" w:hanging="360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In tandem with Counseling Services Director, meets with USM Finance Office representative at regular intervals to review/revise budget as needed.</w:t>
      </w:r>
    </w:p>
    <w:p w:rsidR="00827E81" w:rsidRPr="00676F98" w:rsidRDefault="00827E81" w:rsidP="006657F3">
      <w:pPr>
        <w:numPr>
          <w:ilvl w:val="2"/>
          <w:numId w:val="2"/>
        </w:numPr>
        <w:tabs>
          <w:tab w:val="num" w:pos="1080"/>
        </w:tabs>
        <w:spacing w:after="0" w:line="240" w:lineRule="auto"/>
        <w:ind w:left="1080" w:hanging="360"/>
        <w:rPr>
          <w:rFonts w:eastAsia="Times New Roman" w:cstheme="minorHAnsi"/>
          <w:lang w:eastAsia="ja-JP"/>
        </w:rPr>
      </w:pPr>
      <w:r w:rsidRPr="00676F98">
        <w:rPr>
          <w:rFonts w:cstheme="minorHAnsi"/>
          <w:color w:val="222222"/>
          <w:shd w:val="clear" w:color="auto" w:fill="FFFFFF"/>
        </w:rPr>
        <w:t>Develop annual revenue projection/goal for insurance billing</w:t>
      </w:r>
    </w:p>
    <w:p w:rsidR="006657F3" w:rsidRPr="00676F98" w:rsidRDefault="006657F3" w:rsidP="006657F3">
      <w:pPr>
        <w:spacing w:after="0" w:line="240" w:lineRule="auto"/>
        <w:rPr>
          <w:rFonts w:eastAsia="Times New Roman" w:cstheme="minorHAnsi"/>
          <w:lang w:eastAsia="ja-JP"/>
        </w:rPr>
      </w:pPr>
    </w:p>
    <w:p w:rsidR="006657F3" w:rsidRPr="00676F98" w:rsidRDefault="00676F98" w:rsidP="00676F98">
      <w:pPr>
        <w:spacing w:after="0" w:line="240" w:lineRule="auto"/>
        <w:rPr>
          <w:rFonts w:eastAsia="Times New Roman" w:cstheme="minorHAnsi"/>
          <w:b/>
          <w:lang w:eastAsia="ja-JP"/>
        </w:rPr>
      </w:pPr>
      <w:r>
        <w:rPr>
          <w:rFonts w:eastAsia="Times New Roman" w:cstheme="minorHAnsi"/>
          <w:b/>
          <w:lang w:eastAsia="ja-JP"/>
        </w:rPr>
        <w:t xml:space="preserve"> </w:t>
      </w:r>
      <w:r w:rsidR="006657F3" w:rsidRPr="00676F98">
        <w:rPr>
          <w:rFonts w:eastAsia="Times New Roman" w:cstheme="minorHAnsi"/>
          <w:b/>
          <w:lang w:eastAsia="ja-JP"/>
        </w:rPr>
        <w:t>Public/Professional Activities:</w:t>
      </w:r>
    </w:p>
    <w:p w:rsidR="006657F3" w:rsidRPr="00676F98" w:rsidRDefault="006657F3" w:rsidP="006657F3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1080" w:hanging="360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Participates in relevant continuing education and professional development activities.</w:t>
      </w:r>
    </w:p>
    <w:p w:rsidR="006657F3" w:rsidRPr="00676F98" w:rsidRDefault="006657F3" w:rsidP="006657F3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1080" w:hanging="360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Represents USM for Health &amp; Counseling Services at campus, community events and press conferences, as needed.</w:t>
      </w:r>
    </w:p>
    <w:p w:rsidR="006657F3" w:rsidRPr="00676F98" w:rsidRDefault="006657F3" w:rsidP="006657F3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1080" w:hanging="360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Networks with other health centers in the University of Maine System as well as other Maine colleges and universities.</w:t>
      </w:r>
    </w:p>
    <w:p w:rsidR="006657F3" w:rsidRPr="00676F98" w:rsidRDefault="006657F3" w:rsidP="006657F3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1080" w:hanging="360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Collaborates with community-based health care organizations and groups as appropriate.</w:t>
      </w:r>
    </w:p>
    <w:p w:rsidR="00E83F79" w:rsidRPr="00676F98" w:rsidRDefault="006657F3" w:rsidP="006657F3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1080" w:hanging="360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Provides consultation on health care issues and policy for USM departments and personnel as needed.</w:t>
      </w:r>
    </w:p>
    <w:p w:rsidR="00E83F79" w:rsidRPr="00676F98" w:rsidRDefault="006657F3" w:rsidP="00E83F79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1080" w:hanging="360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Interacts with staff in a wide variety of roles and positions at USM and UMS.</w:t>
      </w:r>
    </w:p>
    <w:p w:rsidR="006657F3" w:rsidRPr="00676F98" w:rsidRDefault="006657F3" w:rsidP="00E83F79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1080" w:hanging="360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Attends conferences and participates in professional associations such as American College Health Association (ACHA) and New England College Health Association (NECHA), etc. as appropriate</w:t>
      </w:r>
    </w:p>
    <w:p w:rsidR="006657F3" w:rsidRPr="00676F98" w:rsidRDefault="006657F3" w:rsidP="006657F3">
      <w:pPr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ab/>
      </w:r>
    </w:p>
    <w:p w:rsidR="006657F3" w:rsidRPr="00676F98" w:rsidRDefault="00676F98" w:rsidP="00676F98">
      <w:pPr>
        <w:spacing w:after="0" w:line="240" w:lineRule="auto"/>
        <w:rPr>
          <w:rFonts w:eastAsia="Times New Roman" w:cstheme="minorHAnsi"/>
          <w:b/>
          <w:lang w:eastAsia="ja-JP"/>
        </w:rPr>
      </w:pPr>
      <w:r>
        <w:rPr>
          <w:rFonts w:eastAsia="Times New Roman" w:cstheme="minorHAnsi"/>
          <w:b/>
          <w:lang w:eastAsia="ja-JP"/>
        </w:rPr>
        <w:t xml:space="preserve"> </w:t>
      </w:r>
      <w:r w:rsidR="006657F3" w:rsidRPr="00676F98">
        <w:rPr>
          <w:rFonts w:eastAsia="Times New Roman" w:cstheme="minorHAnsi"/>
          <w:b/>
          <w:lang w:eastAsia="ja-JP"/>
        </w:rPr>
        <w:t>Knowledge, skills, abilities:</w:t>
      </w:r>
    </w:p>
    <w:p w:rsidR="00676F98" w:rsidRPr="00676F98" w:rsidRDefault="006657F3" w:rsidP="006657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Highly competent nurse practitioner with strong clinical skills and current knowledge of health care issues and practice guidelines, especially pertinent to the young adult.</w:t>
      </w:r>
    </w:p>
    <w:p w:rsidR="00676F98" w:rsidRPr="00676F98" w:rsidRDefault="006657F3" w:rsidP="006657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Strong supervisory, management and leadership skills/experience.</w:t>
      </w:r>
    </w:p>
    <w:p w:rsidR="00676F98" w:rsidRPr="00676F98" w:rsidRDefault="006657F3" w:rsidP="006657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Solid knowledge of public health principles and practice including infectious disease prevention, screening and surveillance.</w:t>
      </w:r>
    </w:p>
    <w:p w:rsidR="00676F98" w:rsidRPr="00676F98" w:rsidRDefault="006657F3" w:rsidP="006657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Excellent verbal and written communication skills.</w:t>
      </w:r>
    </w:p>
    <w:p w:rsidR="00676F98" w:rsidRPr="00676F98" w:rsidRDefault="006657F3" w:rsidP="006657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Grounded understanding of HIPAA requirements, privacy rules and patient confidentiality.</w:t>
      </w:r>
    </w:p>
    <w:p w:rsidR="00676F98" w:rsidRPr="00676F98" w:rsidRDefault="006657F3" w:rsidP="006657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Experience with financial management and budgeting.</w:t>
      </w:r>
    </w:p>
    <w:p w:rsidR="00676F98" w:rsidRPr="00676F98" w:rsidRDefault="006657F3" w:rsidP="006657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Demonstrates superior computer literacy, and facility with</w:t>
      </w:r>
      <w:r w:rsidR="00676F98" w:rsidRPr="00676F98">
        <w:rPr>
          <w:rFonts w:eastAsia="Times New Roman" w:cstheme="minorHAnsi"/>
          <w:lang w:eastAsia="ja-JP"/>
        </w:rPr>
        <w:t xml:space="preserve"> EMR systems and related </w:t>
      </w:r>
      <w:r w:rsidRPr="00676F98">
        <w:rPr>
          <w:rFonts w:eastAsia="Times New Roman" w:cstheme="minorHAnsi"/>
          <w:lang w:eastAsia="ja-JP"/>
        </w:rPr>
        <w:t>software.</w:t>
      </w:r>
    </w:p>
    <w:p w:rsidR="00676F98" w:rsidRPr="00676F98" w:rsidRDefault="006657F3" w:rsidP="00A139A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Experience and skills in continuous quality improvement principles and implementation.</w:t>
      </w:r>
    </w:p>
    <w:p w:rsidR="00676F98" w:rsidRPr="00676F98" w:rsidRDefault="006657F3" w:rsidP="006657F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Demonstrates cross-cultural knowledge</w:t>
      </w:r>
      <w:r w:rsidR="00016439" w:rsidRPr="00676F98">
        <w:rPr>
          <w:rFonts w:eastAsia="Times New Roman" w:cstheme="minorHAnsi"/>
          <w:lang w:eastAsia="ja-JP"/>
        </w:rPr>
        <w:t xml:space="preserve"> and competency</w:t>
      </w:r>
      <w:r w:rsidR="00A139AB" w:rsidRPr="00676F98">
        <w:rPr>
          <w:rFonts w:eastAsia="Times New Roman" w:cstheme="minorHAnsi"/>
          <w:lang w:eastAsia="ja-JP"/>
        </w:rPr>
        <w:t>,</w:t>
      </w:r>
      <w:r w:rsidR="00016439" w:rsidRPr="00676F98">
        <w:rPr>
          <w:rFonts w:eastAsia="Times New Roman" w:cstheme="minorHAnsi"/>
          <w:lang w:eastAsia="ja-JP"/>
        </w:rPr>
        <w:t xml:space="preserve"> respect for diversity</w:t>
      </w:r>
      <w:r w:rsidR="00A139AB" w:rsidRPr="00676F98">
        <w:rPr>
          <w:rFonts w:eastAsia="Times New Roman" w:cstheme="minorHAnsi"/>
          <w:lang w:eastAsia="ja-JP"/>
        </w:rPr>
        <w:t xml:space="preserve"> </w:t>
      </w:r>
      <w:r w:rsidR="00016439" w:rsidRPr="00676F98">
        <w:rPr>
          <w:rFonts w:eastAsia="Times New Roman" w:cstheme="minorHAnsi"/>
          <w:lang w:eastAsia="ja-JP"/>
        </w:rPr>
        <w:t xml:space="preserve">and </w:t>
      </w:r>
      <w:r w:rsidR="00A139AB" w:rsidRPr="00676F98">
        <w:rPr>
          <w:rFonts w:eastAsia="Times New Roman" w:cstheme="minorHAnsi"/>
          <w:lang w:eastAsia="ja-JP"/>
        </w:rPr>
        <w:t>inclusion</w:t>
      </w:r>
      <w:r w:rsidR="00676F98" w:rsidRPr="00676F98">
        <w:rPr>
          <w:rFonts w:eastAsia="Times New Roman" w:cstheme="minorHAnsi"/>
          <w:lang w:eastAsia="ja-JP"/>
        </w:rPr>
        <w:t xml:space="preserve"> </w:t>
      </w:r>
      <w:r w:rsidR="00016439" w:rsidRPr="00676F98">
        <w:rPr>
          <w:rFonts w:eastAsia="Times New Roman" w:cstheme="minorHAnsi"/>
          <w:lang w:eastAsia="ja-JP"/>
        </w:rPr>
        <w:t>and anti-</w:t>
      </w:r>
      <w:r w:rsidRPr="00676F98">
        <w:rPr>
          <w:rFonts w:eastAsia="Times New Roman" w:cstheme="minorHAnsi"/>
          <w:lang w:eastAsia="ja-JP"/>
        </w:rPr>
        <w:t>racism advocacy.</w:t>
      </w:r>
    </w:p>
    <w:p w:rsidR="00676F98" w:rsidRPr="00676F98" w:rsidRDefault="006657F3" w:rsidP="00676F98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 xml:space="preserve">Demonstrates knowledge and advocacy for LGBTQ issues. </w:t>
      </w:r>
    </w:p>
    <w:p w:rsidR="006657F3" w:rsidRPr="00676F98" w:rsidRDefault="006657F3" w:rsidP="00676F98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Possesses an open attitude that fosters a respectful, empowering workplace environment.</w:t>
      </w:r>
    </w:p>
    <w:p w:rsidR="007E053E" w:rsidRPr="00676F98" w:rsidRDefault="007E053E" w:rsidP="006657F3">
      <w:pPr>
        <w:spacing w:after="0" w:line="240" w:lineRule="auto"/>
        <w:ind w:firstLine="720"/>
        <w:rPr>
          <w:rFonts w:eastAsia="Times New Roman" w:cstheme="minorHAnsi"/>
          <w:lang w:eastAsia="ja-JP"/>
        </w:rPr>
      </w:pPr>
    </w:p>
    <w:p w:rsidR="006657F3" w:rsidRPr="00676F98" w:rsidRDefault="006657F3" w:rsidP="006657F3">
      <w:pPr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 xml:space="preserve">     </w:t>
      </w:r>
    </w:p>
    <w:p w:rsidR="006657F3" w:rsidRPr="00676F98" w:rsidRDefault="00676F98" w:rsidP="00676F98">
      <w:pPr>
        <w:spacing w:after="0" w:line="240" w:lineRule="auto"/>
        <w:rPr>
          <w:rFonts w:eastAsia="Times New Roman" w:cstheme="minorHAnsi"/>
          <w:b/>
          <w:lang w:eastAsia="ja-JP"/>
        </w:rPr>
      </w:pPr>
      <w:r>
        <w:rPr>
          <w:rFonts w:eastAsia="Times New Roman" w:cstheme="minorHAnsi"/>
          <w:b/>
          <w:lang w:eastAsia="ja-JP"/>
        </w:rPr>
        <w:t xml:space="preserve"> </w:t>
      </w:r>
      <w:r w:rsidR="006657F3" w:rsidRPr="00676F98">
        <w:rPr>
          <w:rFonts w:eastAsia="Times New Roman" w:cstheme="minorHAnsi"/>
          <w:b/>
          <w:lang w:eastAsia="ja-JP"/>
        </w:rPr>
        <w:t>Qualifications:</w:t>
      </w:r>
    </w:p>
    <w:p w:rsidR="006657F3" w:rsidRPr="00676F98" w:rsidRDefault="006657F3" w:rsidP="006657F3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 xml:space="preserve">Master’s Degree as Adult or Family Nurse Practitioner required and active national certification as a nurse practitioner via the </w:t>
      </w:r>
      <w:r w:rsidRPr="00676F98">
        <w:rPr>
          <w:rFonts w:eastAsia="Times New Roman" w:cstheme="minorHAnsi"/>
          <w:color w:val="444444"/>
          <w:shd w:val="clear" w:color="auto" w:fill="FFFFFF"/>
        </w:rPr>
        <w:t>American Nurses Credentialing Center (ANCC), or the American Academy of Nurse Practitioners Certification Board (AANPCB)</w:t>
      </w:r>
      <w:r w:rsidRPr="00676F98">
        <w:rPr>
          <w:rFonts w:eastAsia="Times New Roman" w:cstheme="minorHAnsi"/>
          <w:lang w:eastAsia="ja-JP"/>
        </w:rPr>
        <w:t xml:space="preserve">. </w:t>
      </w:r>
    </w:p>
    <w:p w:rsidR="006657F3" w:rsidRPr="00676F98" w:rsidRDefault="006657F3" w:rsidP="006657F3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lastRenderedPageBreak/>
        <w:t>Must have current Advanced Practice Nurse licensure or license-eligibility in Maine at the time of hire.</w:t>
      </w:r>
    </w:p>
    <w:p w:rsidR="006657F3" w:rsidRPr="00676F98" w:rsidRDefault="006657F3" w:rsidP="006657F3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At least 3 years of clinical practice as a nurse practitioner in an ambulatory care setting; experience in college health preferred.</w:t>
      </w:r>
    </w:p>
    <w:p w:rsidR="006657F3" w:rsidRPr="00676F98" w:rsidRDefault="006657F3" w:rsidP="006657F3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Prior management and supervisory experience preferred.</w:t>
      </w:r>
    </w:p>
    <w:p w:rsidR="006657F3" w:rsidRPr="00676F98" w:rsidRDefault="006657F3" w:rsidP="006657F3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 xml:space="preserve">Current DEA license or eligible for DEA licensure. </w:t>
      </w:r>
    </w:p>
    <w:p w:rsidR="006657F3" w:rsidRPr="00676F98" w:rsidRDefault="006657F3" w:rsidP="006657F3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lang w:eastAsia="ja-JP"/>
        </w:rPr>
        <w:t>Maintains current health care provider BLS certification.</w:t>
      </w:r>
      <w:r w:rsidRPr="00676F98">
        <w:rPr>
          <w:rFonts w:eastAsia="Times New Roman" w:cstheme="minorHAnsi"/>
          <w:lang w:eastAsia="ja-JP"/>
        </w:rPr>
        <w:tab/>
        <w:t xml:space="preserve">     </w:t>
      </w:r>
    </w:p>
    <w:p w:rsidR="00B82910" w:rsidRDefault="00B82910" w:rsidP="006657F3">
      <w:pPr>
        <w:spacing w:after="0" w:line="240" w:lineRule="auto"/>
        <w:rPr>
          <w:rFonts w:eastAsia="Times New Roman" w:cstheme="minorHAnsi"/>
          <w:b/>
          <w:lang w:eastAsia="ja-JP"/>
        </w:rPr>
      </w:pPr>
    </w:p>
    <w:p w:rsidR="00B82910" w:rsidRDefault="00B82910" w:rsidP="006657F3">
      <w:pPr>
        <w:spacing w:after="0" w:line="240" w:lineRule="auto"/>
        <w:rPr>
          <w:rFonts w:eastAsia="Times New Roman" w:cstheme="minorHAnsi"/>
          <w:b/>
          <w:lang w:eastAsia="ja-JP"/>
        </w:rPr>
      </w:pPr>
    </w:p>
    <w:p w:rsidR="006657F3" w:rsidRPr="00676F98" w:rsidRDefault="006657F3" w:rsidP="006657F3">
      <w:pPr>
        <w:spacing w:after="0" w:line="240" w:lineRule="auto"/>
        <w:rPr>
          <w:rFonts w:eastAsia="Times New Roman" w:cstheme="minorHAnsi"/>
          <w:b/>
          <w:lang w:eastAsia="ja-JP"/>
        </w:rPr>
      </w:pPr>
      <w:r w:rsidRPr="00676F98">
        <w:rPr>
          <w:rFonts w:eastAsia="Times New Roman" w:cstheme="minorHAnsi"/>
          <w:b/>
          <w:lang w:eastAsia="ja-JP"/>
        </w:rPr>
        <w:t xml:space="preserve">For </w:t>
      </w:r>
      <w:r w:rsidR="00676F98">
        <w:rPr>
          <w:rFonts w:eastAsia="Times New Roman" w:cstheme="minorHAnsi"/>
          <w:b/>
          <w:lang w:eastAsia="ja-JP"/>
        </w:rPr>
        <w:t>HR</w:t>
      </w:r>
      <w:r w:rsidRPr="00676F98">
        <w:rPr>
          <w:rFonts w:eastAsia="Times New Roman" w:cstheme="minorHAnsi"/>
          <w:b/>
          <w:lang w:eastAsia="ja-JP"/>
        </w:rPr>
        <w:t xml:space="preserve"> Use Only:</w:t>
      </w:r>
    </w:p>
    <w:p w:rsidR="006657F3" w:rsidRPr="00676F98" w:rsidRDefault="00F300C9" w:rsidP="006657F3">
      <w:pPr>
        <w:spacing w:after="0" w:line="240" w:lineRule="auto"/>
        <w:rPr>
          <w:rFonts w:eastAsia="Times New Roman" w:cstheme="minorHAnsi"/>
          <w:b/>
          <w:lang w:eastAsia="ja-JP"/>
        </w:rPr>
      </w:pPr>
      <w:r w:rsidRPr="00676F98">
        <w:rPr>
          <w:rFonts w:eastAsia="Times New Roman" w:cstheme="minorHAnsi"/>
          <w:b/>
          <w:lang w:eastAsia="ja-JP"/>
        </w:rPr>
        <w:t>Approved:</w:t>
      </w:r>
      <w:r w:rsidRPr="00676F98">
        <w:rPr>
          <w:rFonts w:eastAsia="Times New Roman" w:cstheme="minorHAnsi"/>
          <w:b/>
          <w:lang w:eastAsia="ja-JP"/>
        </w:rPr>
        <w:tab/>
      </w:r>
      <w:r w:rsidRPr="00676F98">
        <w:rPr>
          <w:rFonts w:eastAsia="Times New Roman" w:cstheme="minorHAnsi"/>
          <w:b/>
          <w:lang w:eastAsia="ja-JP"/>
        </w:rPr>
        <w:tab/>
      </w:r>
      <w:r w:rsidR="00676F98">
        <w:rPr>
          <w:rFonts w:eastAsia="Times New Roman" w:cstheme="minorHAnsi"/>
          <w:b/>
          <w:lang w:eastAsia="ja-JP"/>
        </w:rPr>
        <w:t>February 2021</w:t>
      </w:r>
    </w:p>
    <w:p w:rsidR="006657F3" w:rsidRPr="00676F98" w:rsidRDefault="006657F3" w:rsidP="006657F3">
      <w:pPr>
        <w:spacing w:after="0" w:line="240" w:lineRule="auto"/>
        <w:rPr>
          <w:rFonts w:eastAsia="Times New Roman" w:cstheme="minorHAnsi"/>
          <w:b/>
          <w:lang w:eastAsia="ja-JP"/>
        </w:rPr>
      </w:pPr>
      <w:r w:rsidRPr="00676F98">
        <w:rPr>
          <w:rFonts w:eastAsia="Times New Roman" w:cstheme="minorHAnsi"/>
          <w:b/>
          <w:lang w:eastAsia="ja-JP"/>
        </w:rPr>
        <w:t>Job Family:</w:t>
      </w:r>
      <w:r w:rsidRPr="00676F98">
        <w:rPr>
          <w:rFonts w:eastAsia="Times New Roman" w:cstheme="minorHAnsi"/>
          <w:b/>
          <w:lang w:eastAsia="ja-JP"/>
        </w:rPr>
        <w:tab/>
      </w:r>
      <w:r w:rsidRPr="00676F98">
        <w:rPr>
          <w:rFonts w:eastAsia="Times New Roman" w:cstheme="minorHAnsi"/>
          <w:b/>
          <w:lang w:eastAsia="ja-JP"/>
        </w:rPr>
        <w:tab/>
        <w:t>2</w:t>
      </w:r>
    </w:p>
    <w:p w:rsidR="006657F3" w:rsidRPr="00676F98" w:rsidRDefault="00676F98" w:rsidP="006657F3">
      <w:pPr>
        <w:spacing w:after="0" w:line="240" w:lineRule="auto"/>
        <w:rPr>
          <w:rFonts w:eastAsia="Times New Roman" w:cstheme="minorHAnsi"/>
          <w:b/>
          <w:lang w:eastAsia="ja-JP"/>
        </w:rPr>
      </w:pPr>
      <w:r w:rsidRPr="00676F98">
        <w:rPr>
          <w:rFonts w:eastAsia="Times New Roman" w:cstheme="minorHAnsi"/>
          <w:b/>
          <w:lang w:eastAsia="ja-JP"/>
        </w:rPr>
        <w:t>Salary Band:</w:t>
      </w:r>
      <w:r w:rsidRPr="00676F98">
        <w:rPr>
          <w:rFonts w:eastAsia="Times New Roman" w:cstheme="minorHAnsi"/>
          <w:b/>
          <w:lang w:eastAsia="ja-JP"/>
        </w:rPr>
        <w:tab/>
      </w:r>
      <w:r w:rsidRPr="00676F98">
        <w:rPr>
          <w:rFonts w:eastAsia="Times New Roman" w:cstheme="minorHAnsi"/>
          <w:b/>
          <w:lang w:eastAsia="ja-JP"/>
        </w:rPr>
        <w:tab/>
      </w:r>
      <w:r w:rsidR="006657F3" w:rsidRPr="00676F98">
        <w:rPr>
          <w:rFonts w:eastAsia="Times New Roman" w:cstheme="minorHAnsi"/>
          <w:b/>
          <w:lang w:eastAsia="ja-JP"/>
        </w:rPr>
        <w:t>7</w:t>
      </w:r>
    </w:p>
    <w:p w:rsidR="006657F3" w:rsidRPr="00676F98" w:rsidRDefault="006657F3" w:rsidP="006657F3">
      <w:pPr>
        <w:spacing w:after="0" w:line="240" w:lineRule="auto"/>
        <w:rPr>
          <w:rFonts w:eastAsia="Times New Roman" w:cstheme="minorHAnsi"/>
          <w:b/>
          <w:lang w:eastAsia="ja-JP"/>
        </w:rPr>
      </w:pPr>
      <w:r w:rsidRPr="00676F98">
        <w:rPr>
          <w:rFonts w:eastAsia="Times New Roman" w:cstheme="minorHAnsi"/>
          <w:b/>
          <w:lang w:eastAsia="ja-JP"/>
        </w:rPr>
        <w:t>Unit:</w:t>
      </w:r>
      <w:r w:rsidRPr="00676F98">
        <w:rPr>
          <w:rFonts w:eastAsia="Times New Roman" w:cstheme="minorHAnsi"/>
          <w:b/>
          <w:lang w:eastAsia="ja-JP"/>
        </w:rPr>
        <w:tab/>
      </w:r>
      <w:r w:rsidRPr="00676F98">
        <w:rPr>
          <w:rFonts w:eastAsia="Times New Roman" w:cstheme="minorHAnsi"/>
          <w:b/>
          <w:lang w:eastAsia="ja-JP"/>
        </w:rPr>
        <w:tab/>
      </w:r>
      <w:r w:rsidRPr="00676F98">
        <w:rPr>
          <w:rFonts w:eastAsia="Times New Roman" w:cstheme="minorHAnsi"/>
          <w:b/>
          <w:lang w:eastAsia="ja-JP"/>
        </w:rPr>
        <w:tab/>
        <w:t>Non-Represented Professional</w:t>
      </w:r>
    </w:p>
    <w:p w:rsidR="006657F3" w:rsidRPr="00676F98" w:rsidRDefault="00F300C9" w:rsidP="006657F3">
      <w:pPr>
        <w:spacing w:after="0" w:line="240" w:lineRule="auto"/>
        <w:rPr>
          <w:rFonts w:eastAsia="Times New Roman" w:cstheme="minorHAnsi"/>
          <w:b/>
          <w:lang w:eastAsia="ja-JP"/>
        </w:rPr>
      </w:pPr>
      <w:r w:rsidRPr="00676F98">
        <w:rPr>
          <w:rFonts w:eastAsia="Times New Roman" w:cstheme="minorHAnsi"/>
          <w:b/>
          <w:lang w:eastAsia="ja-JP"/>
        </w:rPr>
        <w:t>Employee:</w:t>
      </w:r>
      <w:r w:rsidRPr="00676F98">
        <w:rPr>
          <w:rFonts w:eastAsia="Times New Roman" w:cstheme="minorHAnsi"/>
          <w:b/>
          <w:lang w:eastAsia="ja-JP"/>
        </w:rPr>
        <w:tab/>
      </w:r>
      <w:r w:rsidRPr="00676F98">
        <w:rPr>
          <w:rFonts w:eastAsia="Times New Roman" w:cstheme="minorHAnsi"/>
          <w:b/>
          <w:lang w:eastAsia="ja-JP"/>
        </w:rPr>
        <w:tab/>
      </w:r>
      <w:r w:rsidR="00676F98" w:rsidRPr="00676F98">
        <w:rPr>
          <w:rFonts w:eastAsia="Times New Roman" w:cstheme="minorHAnsi"/>
          <w:b/>
          <w:lang w:eastAsia="ja-JP"/>
        </w:rPr>
        <w:t>TBD</w:t>
      </w:r>
    </w:p>
    <w:p w:rsidR="006657F3" w:rsidRPr="00676F98" w:rsidRDefault="006657F3" w:rsidP="006657F3">
      <w:pPr>
        <w:spacing w:after="0" w:line="240" w:lineRule="auto"/>
        <w:rPr>
          <w:rFonts w:eastAsia="Times New Roman" w:cstheme="minorHAnsi"/>
          <w:lang w:eastAsia="ja-JP"/>
        </w:rPr>
      </w:pPr>
      <w:r w:rsidRPr="00676F98">
        <w:rPr>
          <w:rFonts w:eastAsia="Times New Roman" w:cstheme="minorHAnsi"/>
          <w:b/>
          <w:lang w:eastAsia="ja-JP"/>
        </w:rPr>
        <w:t>Position#:</w:t>
      </w:r>
      <w:r w:rsidRPr="00676F98">
        <w:rPr>
          <w:rFonts w:eastAsia="Times New Roman" w:cstheme="minorHAnsi"/>
          <w:b/>
          <w:lang w:eastAsia="ja-JP"/>
        </w:rPr>
        <w:tab/>
      </w:r>
      <w:r w:rsidRPr="00676F98">
        <w:rPr>
          <w:rFonts w:eastAsia="Times New Roman" w:cstheme="minorHAnsi"/>
          <w:b/>
          <w:lang w:eastAsia="ja-JP"/>
        </w:rPr>
        <w:tab/>
        <w:t>00019829</w:t>
      </w:r>
      <w:r w:rsidRPr="00676F98">
        <w:rPr>
          <w:rFonts w:eastAsia="Times New Roman" w:cstheme="minorHAnsi"/>
          <w:lang w:eastAsia="ja-JP"/>
        </w:rPr>
        <w:tab/>
      </w:r>
      <w:r w:rsidRPr="00676F98">
        <w:rPr>
          <w:rFonts w:eastAsia="Times New Roman" w:cstheme="minorHAnsi"/>
          <w:lang w:eastAsia="ja-JP"/>
        </w:rPr>
        <w:tab/>
      </w:r>
    </w:p>
    <w:p w:rsidR="00F828AD" w:rsidRPr="00676F98" w:rsidRDefault="00F828AD">
      <w:pPr>
        <w:rPr>
          <w:rFonts w:cstheme="minorHAnsi"/>
        </w:rPr>
      </w:pPr>
    </w:p>
    <w:sectPr w:rsidR="00F828AD" w:rsidRPr="00676F98" w:rsidSect="007E053E">
      <w:pgSz w:w="12240" w:h="15840"/>
      <w:pgMar w:top="1440" w:right="1152" w:bottom="72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10DBC"/>
    <w:multiLevelType w:val="hybridMultilevel"/>
    <w:tmpl w:val="865274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36B2A67"/>
    <w:multiLevelType w:val="hybridMultilevel"/>
    <w:tmpl w:val="E0326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01B88"/>
    <w:multiLevelType w:val="hybridMultilevel"/>
    <w:tmpl w:val="C8F638EE"/>
    <w:lvl w:ilvl="0" w:tplc="DBA61F2E">
      <w:start w:val="2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21581A"/>
    <w:multiLevelType w:val="hybridMultilevel"/>
    <w:tmpl w:val="830CF36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5E813BA4"/>
    <w:multiLevelType w:val="hybridMultilevel"/>
    <w:tmpl w:val="24A0753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3C4EDFC">
      <w:start w:val="4"/>
      <w:numFmt w:val="upperRoman"/>
      <w:lvlText w:val="%2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firstLine="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151195B"/>
    <w:multiLevelType w:val="hybridMultilevel"/>
    <w:tmpl w:val="04B6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F1DE6F1A">
      <w:start w:val="8"/>
      <w:numFmt w:val="upperRoman"/>
      <w:lvlText w:val="%2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2" w:tplc="DB503CAA">
      <w:start w:val="1"/>
      <w:numFmt w:val="upperLetter"/>
      <w:lvlText w:val="%3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2A7AB9"/>
    <w:multiLevelType w:val="hybridMultilevel"/>
    <w:tmpl w:val="B8FAD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1210A0"/>
    <w:multiLevelType w:val="hybridMultilevel"/>
    <w:tmpl w:val="8CC61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F3"/>
    <w:rsid w:val="00016439"/>
    <w:rsid w:val="00315FB3"/>
    <w:rsid w:val="00533E44"/>
    <w:rsid w:val="006657F3"/>
    <w:rsid w:val="00676F98"/>
    <w:rsid w:val="007E053E"/>
    <w:rsid w:val="00827E81"/>
    <w:rsid w:val="009B3D3C"/>
    <w:rsid w:val="00A139AB"/>
    <w:rsid w:val="00A6167D"/>
    <w:rsid w:val="00AE121A"/>
    <w:rsid w:val="00B82910"/>
    <w:rsid w:val="00CB68B3"/>
    <w:rsid w:val="00DC3B69"/>
    <w:rsid w:val="00E83F79"/>
    <w:rsid w:val="00F300C9"/>
    <w:rsid w:val="00F8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452D9"/>
  <w15:chartTrackingRefBased/>
  <w15:docId w15:val="{0BC79B20-288D-4911-A7DD-6E29C86D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Malinda Scannell</dc:creator>
  <cp:keywords/>
  <dc:description/>
  <cp:lastModifiedBy>Michelle J Nadeau</cp:lastModifiedBy>
  <cp:revision>2</cp:revision>
  <dcterms:created xsi:type="dcterms:W3CDTF">2021-03-26T12:56:00Z</dcterms:created>
  <dcterms:modified xsi:type="dcterms:W3CDTF">2021-03-26T12:56:00Z</dcterms:modified>
</cp:coreProperties>
</file>